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1" w:rsidRDefault="009C6801">
      <w:pPr>
        <w:jc w:val="center"/>
      </w:pPr>
    </w:p>
    <w:p w:rsidR="009C6801" w:rsidRDefault="009C6801">
      <w:pPr>
        <w:jc w:val="center"/>
      </w:pPr>
    </w:p>
    <w:p w:rsidR="009C6801" w:rsidRDefault="008861B9">
      <w:pPr>
        <w:spacing w:line="276" w:lineRule="auto"/>
        <w:ind w:right="-142"/>
        <w:jc w:val="center"/>
        <w:rPr>
          <w:sz w:val="26"/>
          <w:szCs w:val="26"/>
        </w:rPr>
      </w:pPr>
      <w:bookmarkStart w:id="0" w:name="undefined"/>
      <w:bookmarkEnd w:id="0"/>
      <w:r>
        <w:rPr>
          <w:rFonts w:eastAsia="Arial Unicode MS"/>
          <w:b/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</w:p>
    <w:p w:rsidR="009C6801" w:rsidRDefault="008861B9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 xml:space="preserve">о тарифах и плате за </w:t>
      </w:r>
      <w:proofErr w:type="gramStart"/>
      <w:r>
        <w:rPr>
          <w:rStyle w:val="titlerazdel"/>
          <w:rFonts w:eastAsiaTheme="majorEastAsia"/>
          <w:b/>
          <w:sz w:val="26"/>
          <w:szCs w:val="26"/>
        </w:rPr>
        <w:t>коммунальные</w:t>
      </w:r>
      <w:proofErr w:type="gramEnd"/>
    </w:p>
    <w:p w:rsidR="009C6801" w:rsidRDefault="008861B9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>
        <w:rPr>
          <w:rStyle w:val="titlerazdel"/>
          <w:rFonts w:eastAsiaTheme="majorEastAsia"/>
          <w:b/>
          <w:sz w:val="26"/>
          <w:szCs w:val="26"/>
        </w:rPr>
        <w:t>на 2024 год</w:t>
      </w:r>
    </w:p>
    <w:p w:rsidR="009C6801" w:rsidRDefault="009C6801">
      <w:pPr>
        <w:spacing w:line="276" w:lineRule="auto"/>
        <w:ind w:right="-142"/>
        <w:jc w:val="center"/>
        <w:rPr>
          <w:sz w:val="26"/>
          <w:szCs w:val="26"/>
        </w:rPr>
      </w:pP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 1 января по 30 июня 2024 года тарифы приняты на уровне декабря 2023 года. </w:t>
      </w: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Плановое увеличение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Югре и Губернатором Ханты-Мансийского авт</w:t>
      </w:r>
      <w:r>
        <w:rPr>
          <w:color w:val="000000" w:themeColor="text1"/>
          <w:sz w:val="26"/>
          <w:szCs w:val="26"/>
        </w:rPr>
        <w:t>ономного округа – Югры по муниципальным образованиям.</w:t>
      </w: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Распоряжением Правительства РФ № 3147-р от 10.11.2023 утверждены индексы изменения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2%, с учетом которого предельные (максимальные) индексы изменения размера вносимой</w:t>
      </w:r>
      <w:proofErr w:type="gramEnd"/>
      <w:r>
        <w:rPr>
          <w:color w:val="000000" w:themeColor="text1"/>
          <w:sz w:val="26"/>
          <w:szCs w:val="26"/>
        </w:rPr>
        <w:t xml:space="preserve"> гражданами платы за коммунальные услуги в муниципальных образованиях автономного округа с 01.07.2024 (далее – предельные индексы) не должны превышать 11,6%.</w:t>
      </w: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Прогнозу социально-экономического развития РФ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водоснабжение, водоотведение и обращение с твердыми коммунальными отходами; 8,9% - на электроэнергию; 11,2% - на газ.</w:t>
      </w: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утверждены предельные индексы (</w:t>
      </w:r>
      <w:hyperlink r:id="rId9" w:tooltip="https://admhmao.ru/dokumenty/pravovye-akty-gubernatora/9559393/" w:history="1">
        <w:r>
          <w:rPr>
            <w:color w:val="000000" w:themeColor="text1"/>
            <w:sz w:val="26"/>
            <w:szCs w:val="26"/>
            <w:u w:val="single"/>
            <w:lang w:eastAsia="en-US"/>
          </w:rPr>
          <w:t>https://admhmao.ru/dokumenty/pravovye-akty-gubernatora/9559393/</w:t>
        </w:r>
      </w:hyperlink>
      <w:r>
        <w:rPr>
          <w:color w:val="000000" w:themeColor="text1"/>
          <w:sz w:val="26"/>
          <w:szCs w:val="26"/>
        </w:rPr>
        <w:t>)</w:t>
      </w: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отдельным муниципальным образованиям автономного округа с жилыми помещениями в наборе коммунальных </w:t>
      </w:r>
      <w:proofErr w:type="gramStart"/>
      <w:r>
        <w:rPr>
          <w:color w:val="000000" w:themeColor="text1"/>
          <w:sz w:val="26"/>
          <w:szCs w:val="26"/>
        </w:rPr>
        <w:t>услуг</w:t>
      </w:r>
      <w:proofErr w:type="gramEnd"/>
      <w:r>
        <w:rPr>
          <w:color w:val="000000" w:themeColor="text1"/>
          <w:sz w:val="26"/>
          <w:szCs w:val="26"/>
        </w:rPr>
        <w:t xml:space="preserve">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 граждан от всей численности населения в Югре составляет 1,36%.</w:t>
      </w: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Для остальных граждан рост платы с 1 июля 2024 года не превысит 9,6%.</w:t>
      </w: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9C6801" w:rsidRDefault="008861B9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9C6801" w:rsidRDefault="008861B9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9C6801" w:rsidRDefault="008861B9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  <w:proofErr w:type="gramEnd"/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соблюдения законодательства об ограничении роста платы граждан за коммунальные услуги для населения могут </w:t>
      </w:r>
      <w:proofErr w:type="gramStart"/>
      <w:r>
        <w:rPr>
          <w:color w:val="000000" w:themeColor="text1"/>
          <w:sz w:val="26"/>
          <w:szCs w:val="26"/>
        </w:rPr>
        <w:t>применятся</w:t>
      </w:r>
      <w:proofErr w:type="gramEnd"/>
      <w:r>
        <w:rPr>
          <w:color w:val="000000" w:themeColor="text1"/>
          <w:sz w:val="26"/>
          <w:szCs w:val="26"/>
        </w:rPr>
        <w:t xml:space="preserve"> тарифы с учетом уровня платы в размере ниже экономически обоснованных тарифов, установленных РСТ Югры, с компенсацией разницы </w:t>
      </w:r>
      <w:proofErr w:type="spellStart"/>
      <w:r>
        <w:rPr>
          <w:color w:val="000000" w:themeColor="text1"/>
          <w:sz w:val="26"/>
          <w:szCs w:val="26"/>
        </w:rPr>
        <w:t>ресурсоснабжающим</w:t>
      </w:r>
      <w:proofErr w:type="spellEnd"/>
      <w:r>
        <w:rPr>
          <w:color w:val="000000" w:themeColor="text1"/>
          <w:sz w:val="26"/>
          <w:szCs w:val="26"/>
        </w:rPr>
        <w:t xml:space="preserve"> организациям из бюджетной системы муниципального образования или субъекта РФ.</w:t>
      </w:r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Контроль за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color w:val="000000" w:themeColor="text1"/>
          <w:sz w:val="26"/>
          <w:szCs w:val="26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>
        <w:rPr>
          <w:color w:val="000000" w:themeColor="text1"/>
          <w:sz w:val="26"/>
          <w:szCs w:val="26"/>
        </w:rPr>
        <w:t>(</w:t>
      </w:r>
      <w:hyperlink r:id="rId10" w:tooltip="http://bptr.eias.admhmao.ru/TariffDecisions?reg=RU.5.86" w:history="1">
        <w:r>
          <w:rPr>
            <w:color w:val="000000" w:themeColor="text1"/>
            <w:sz w:val="26"/>
            <w:szCs w:val="26"/>
          </w:rPr>
          <w:t>http://bptr.eias.admhmao.ru/TariffDecisions?reg=RU.5.86/</w:t>
        </w:r>
      </w:hyperlink>
      <w:r>
        <w:rPr>
          <w:color w:val="000000" w:themeColor="text1"/>
          <w:sz w:val="26"/>
          <w:szCs w:val="26"/>
        </w:rPr>
        <w:t xml:space="preserve">) </w:t>
      </w:r>
      <w:r>
        <w:rPr>
          <w:rFonts w:eastAsia="Calibri"/>
          <w:color w:val="000000" w:themeColor="text1"/>
          <w:sz w:val="26"/>
          <w:szCs w:val="26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</w:rPr>
        <w:t>/ «Газовая отрасль» (</w:t>
      </w:r>
      <w:hyperlink r:id="rId11" w:tooltip="https://rst.admhmao.ru/dokumenty/" w:history="1">
        <w:r>
          <w:rPr>
            <w:rStyle w:val="af4"/>
            <w:color w:val="000000" w:themeColor="text1"/>
            <w:sz w:val="26"/>
            <w:szCs w:val="26"/>
            <w:u w:val="none"/>
          </w:rPr>
          <w:t>https://rst.admhmao.ru/dokumenty/</w:t>
        </w:r>
      </w:hyperlink>
      <w:r>
        <w:rPr>
          <w:color w:val="000000" w:themeColor="text1"/>
          <w:sz w:val="26"/>
          <w:szCs w:val="26"/>
        </w:rPr>
        <w:t>).</w:t>
      </w:r>
      <w:proofErr w:type="gramEnd"/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 xml:space="preserve">регионального оператора по обращению с твердыми коммунальными отходами АО «Югра-Экология» </w:t>
      </w:r>
      <w:r>
        <w:rPr>
          <w:rFonts w:eastAsia="Arial Unicode MS"/>
          <w:color w:val="000000" w:themeColor="text1"/>
          <w:sz w:val="26"/>
          <w:szCs w:val="26"/>
        </w:rPr>
        <w:t>установлена программа для расчета платежа за услугу «Обращение с ТКО» (</w:t>
      </w:r>
      <w:hyperlink r:id="rId12" w:tooltip="https://www.yugra-ecology.ru/calculator" w:history="1">
        <w:r>
          <w:rPr>
            <w:rStyle w:val="af4"/>
            <w:rFonts w:eastAsia="Arial Unicode MS"/>
            <w:color w:val="000000" w:themeColor="text1"/>
            <w:sz w:val="26"/>
            <w:szCs w:val="26"/>
            <w:u w:val="none"/>
          </w:rPr>
          <w:t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</w:rPr>
        <w:t>).</w:t>
      </w:r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 (</w:t>
      </w:r>
      <w:hyperlink r:id="rId13" w:tooltip="https://rec.admtyumen.ru/" w:history="1">
        <w:r>
          <w:rPr>
            <w:rStyle w:val="16"/>
            <w:rFonts w:eastAsia="Arial Unicode MS"/>
            <w:color w:val="000000" w:themeColor="text1"/>
            <w:sz w:val="26"/>
            <w:szCs w:val="26"/>
            <w:u w:val="none"/>
          </w:rPr>
          <w:t>https://rec.admtyumen.ru/</w:t>
        </w:r>
      </w:hyperlink>
      <w:r>
        <w:rPr>
          <w:rFonts w:eastAsia="Arial Unicode MS"/>
          <w:color w:val="000000" w:themeColor="text1"/>
          <w:sz w:val="26"/>
          <w:szCs w:val="26"/>
        </w:rPr>
        <w:t>)  на главной странице «Деятельность», раздел «Нормативные правовые и ненормативные правовые акты».</w:t>
      </w:r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Контроль за правильностью установления размера платы за содержание и ремонт жилого помещения, определения размера и внесен</w:t>
      </w:r>
      <w:r>
        <w:rPr>
          <w:color w:val="000000" w:themeColor="text1"/>
          <w:sz w:val="26"/>
          <w:szCs w:val="26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4" w:tooltip="http://www.jsn.admhmao.ru/" w:history="1">
        <w:r>
          <w:rPr>
            <w:rStyle w:val="af4"/>
            <w:color w:val="000000" w:themeColor="text1"/>
            <w:sz w:val="26"/>
            <w:szCs w:val="26"/>
          </w:rPr>
          <w:t>http://www.jsn.admhmao.ru/.</w:t>
        </w:r>
      </w:hyperlink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Югры, сайт: </w:t>
      </w:r>
      <w:hyperlink r:id="rId15" w:tooltip="https://www.ds.admhmao.ru/" w:history="1">
        <w:r>
          <w:rPr>
            <w:rStyle w:val="af4"/>
            <w:color w:val="000000" w:themeColor="text1"/>
            <w:sz w:val="26"/>
            <w:szCs w:val="26"/>
          </w:rPr>
          <w:t>https://www.ds.admhmao.ru/</w:t>
        </w:r>
      </w:hyperlink>
      <w:r>
        <w:rPr>
          <w:rStyle w:val="af4"/>
          <w:color w:val="000000" w:themeColor="text1"/>
          <w:sz w:val="26"/>
          <w:szCs w:val="26"/>
        </w:rPr>
        <w:t>.</w:t>
      </w:r>
    </w:p>
    <w:p w:rsidR="009C6801" w:rsidRDefault="008861B9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</w:t>
      </w:r>
      <w:r>
        <w:rPr>
          <w:rStyle w:val="af4"/>
          <w:color w:val="000000" w:themeColor="text1"/>
          <w:sz w:val="26"/>
          <w:szCs w:val="26"/>
        </w:rPr>
        <w:t xml:space="preserve"> </w:t>
      </w:r>
      <w:hyperlink r:id="rId16" w:tooltip="https://depprom.admhmao.ru/" w:history="1">
        <w:r>
          <w:rPr>
            <w:rStyle w:val="af4"/>
            <w:color w:val="000000" w:themeColor="text1"/>
            <w:sz w:val="26"/>
            <w:szCs w:val="26"/>
          </w:rPr>
          <w:t>https://depprom.admhmao.ru/</w:t>
        </w:r>
      </w:hyperlink>
      <w:r>
        <w:rPr>
          <w:rStyle w:val="af4"/>
          <w:color w:val="000000" w:themeColor="text1"/>
          <w:sz w:val="26"/>
          <w:szCs w:val="26"/>
        </w:rPr>
        <w:t>.</w:t>
      </w:r>
    </w:p>
    <w:p w:rsidR="009C6801" w:rsidRDefault="009C6801">
      <w:pPr>
        <w:rPr>
          <w:sz w:val="28"/>
          <w:szCs w:val="28"/>
        </w:rPr>
      </w:pPr>
    </w:p>
    <w:p w:rsidR="009C6801" w:rsidRDefault="009C6801">
      <w:pPr>
        <w:pStyle w:val="af8"/>
        <w:jc w:val="right"/>
      </w:pPr>
    </w:p>
    <w:p w:rsidR="009C6801" w:rsidRDefault="009C6801">
      <w:pPr>
        <w:pStyle w:val="af8"/>
        <w:jc w:val="right"/>
        <w:rPr>
          <w:sz w:val="28"/>
          <w:szCs w:val="28"/>
        </w:rPr>
      </w:pPr>
    </w:p>
    <w:p w:rsidR="009C6801" w:rsidRDefault="009C6801">
      <w:pPr>
        <w:pStyle w:val="af8"/>
        <w:jc w:val="right"/>
        <w:rPr>
          <w:sz w:val="28"/>
          <w:szCs w:val="28"/>
        </w:rPr>
      </w:pPr>
    </w:p>
    <w:p w:rsidR="009C6801" w:rsidRDefault="009C6801">
      <w:pPr>
        <w:pStyle w:val="af8"/>
        <w:jc w:val="right"/>
        <w:rPr>
          <w:sz w:val="28"/>
          <w:szCs w:val="28"/>
        </w:rPr>
      </w:pPr>
    </w:p>
    <w:p w:rsidR="009C6801" w:rsidRDefault="009C6801">
      <w:pPr>
        <w:pStyle w:val="af8"/>
        <w:jc w:val="right"/>
        <w:rPr>
          <w:sz w:val="28"/>
          <w:szCs w:val="28"/>
        </w:rPr>
      </w:pPr>
    </w:p>
    <w:p w:rsidR="009C6801" w:rsidRDefault="009C6801">
      <w:pPr>
        <w:pStyle w:val="af8"/>
        <w:jc w:val="right"/>
        <w:rPr>
          <w:sz w:val="28"/>
          <w:szCs w:val="28"/>
        </w:rPr>
      </w:pPr>
    </w:p>
    <w:p w:rsidR="009C6801" w:rsidRDefault="009C6801">
      <w:pPr>
        <w:pStyle w:val="af8"/>
        <w:jc w:val="right"/>
        <w:rPr>
          <w:sz w:val="28"/>
          <w:szCs w:val="28"/>
        </w:rPr>
      </w:pPr>
    </w:p>
    <w:p w:rsidR="009C6801" w:rsidRDefault="009C6801">
      <w:pPr>
        <w:pStyle w:val="af8"/>
        <w:jc w:val="right"/>
        <w:rPr>
          <w:sz w:val="28"/>
          <w:szCs w:val="28"/>
        </w:rPr>
      </w:pPr>
    </w:p>
    <w:p w:rsidR="009C6801" w:rsidRDefault="009C6801">
      <w:pPr>
        <w:pStyle w:val="af8"/>
        <w:jc w:val="right"/>
        <w:rPr>
          <w:sz w:val="28"/>
          <w:szCs w:val="28"/>
        </w:rPr>
      </w:pPr>
    </w:p>
    <w:p w:rsidR="009C6801" w:rsidRDefault="009C6801">
      <w:pPr>
        <w:pStyle w:val="af8"/>
        <w:jc w:val="right"/>
        <w:rPr>
          <w:sz w:val="28"/>
          <w:szCs w:val="28"/>
        </w:rPr>
      </w:pPr>
    </w:p>
    <w:p w:rsidR="009C6801" w:rsidRDefault="008861B9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Информация </w:t>
      </w:r>
    </w:p>
    <w:p w:rsidR="009C6801" w:rsidRDefault="008861B9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9C6801" w:rsidRDefault="008861B9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:rsidR="009C6801" w:rsidRDefault="009C6801">
      <w:pPr>
        <w:spacing w:line="264" w:lineRule="auto"/>
        <w:ind w:firstLine="709"/>
        <w:jc w:val="center"/>
        <w:rPr>
          <w:sz w:val="26"/>
          <w:szCs w:val="26"/>
        </w:rPr>
      </w:pPr>
    </w:p>
    <w:p w:rsidR="009C6801" w:rsidRDefault="008861B9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9C6801" w:rsidRDefault="008861B9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осуществляется в соответствии с требованиями:</w:t>
      </w:r>
    </w:p>
    <w:p w:rsidR="009C6801" w:rsidRDefault="008861B9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9C6801" w:rsidRDefault="008861B9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Российской Федерации от 30.05.2016 </w:t>
      </w:r>
      <w:r w:rsidRPr="00CE0811">
        <w:rPr>
          <w:sz w:val="26"/>
          <w:szCs w:val="26"/>
        </w:rPr>
        <w:t xml:space="preserve">       </w:t>
      </w:r>
      <w:r>
        <w:rPr>
          <w:sz w:val="26"/>
          <w:szCs w:val="26"/>
        </w:rPr>
        <w:t>№ 484 «О ценообразовании в области обращения с твердыми коммунальными отходами»;</w:t>
      </w:r>
    </w:p>
    <w:p w:rsidR="009C6801" w:rsidRDefault="008861B9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9C6801" w:rsidRDefault="008861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  <w:proofErr w:type="gramEnd"/>
    </w:p>
    <w:p w:rsidR="009C6801" w:rsidRDefault="008861B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:rsidR="009C6801" w:rsidRDefault="008861B9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lastRenderedPageBreak/>
        <w:t>АО «Югра-Экология»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lang w:bidi="ru-RU"/>
        </w:rPr>
        <w:t>Об</w:t>
      </w:r>
      <w:proofErr w:type="gramEnd"/>
      <w:r>
        <w:rPr>
          <w:sz w:val="26"/>
          <w:szCs w:val="26"/>
          <w:lang w:bidi="ru-RU"/>
        </w:rPr>
        <w:t xml:space="preserve"> </w:t>
      </w:r>
      <w:proofErr w:type="gramStart"/>
      <w:r>
        <w:rPr>
          <w:sz w:val="26"/>
          <w:szCs w:val="26"/>
          <w:lang w:bidi="ru-RU"/>
        </w:rPr>
        <w:t>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  <w:proofErr w:type="gramEnd"/>
    </w:p>
    <w:p w:rsidR="009C6801" w:rsidRDefault="008861B9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17" w:tooltip="http://www.rst.admhmao.ru" w:history="1">
        <w:r>
          <w:rPr>
            <w:rStyle w:val="af4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>) в разделе «Раскрытие информации», в подразделе «В области обращения с ТКО»/ «Информация о протоколах заседания правления».</w:t>
      </w:r>
    </w:p>
    <w:p w:rsidR="009C6801" w:rsidRDefault="008861B9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Размеры установленных экономически обоснованных единых тарифов и тарифов, которые будут </w:t>
      </w:r>
      <w:proofErr w:type="gramStart"/>
      <w:r>
        <w:rPr>
          <w:sz w:val="26"/>
          <w:szCs w:val="26"/>
        </w:rPr>
        <w:t>применятся</w:t>
      </w:r>
      <w:proofErr w:type="gramEnd"/>
      <w:r>
        <w:rPr>
          <w:sz w:val="26"/>
          <w:szCs w:val="26"/>
        </w:rPr>
        <w:t xml:space="preserve"> для населения представлены в таблице:</w:t>
      </w:r>
    </w:p>
    <w:tbl>
      <w:tblPr>
        <w:tblStyle w:val="af7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9C6801">
        <w:tc>
          <w:tcPr>
            <w:tcW w:w="3793" w:type="dxa"/>
            <w:vMerge w:val="restart"/>
            <w:vAlign w:val="center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«Югра-Экология»    № 01-06-ЮЭ/0140 на 2024 год, руб./м3, с учетом НДС</w:t>
            </w:r>
          </w:p>
        </w:tc>
      </w:tr>
      <w:tr w:rsidR="009C6801">
        <w:trPr>
          <w:trHeight w:val="806"/>
        </w:trPr>
        <w:tc>
          <w:tcPr>
            <w:tcW w:w="3793" w:type="dxa"/>
            <w:vMerge/>
          </w:tcPr>
          <w:p w:rsidR="009C6801" w:rsidRDefault="009C6801"/>
        </w:tc>
        <w:tc>
          <w:tcPr>
            <w:tcW w:w="1134" w:type="dxa"/>
            <w:vAlign w:val="center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</w:tr>
      <w:tr w:rsidR="009C6801">
        <w:tc>
          <w:tcPr>
            <w:tcW w:w="3793" w:type="dxa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 xml:space="preserve">городских округов: Нижневартовск, Сургут, Когалым,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Мегион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Лангепас, Радужный,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Покачи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муниципальных районов: Белоярский, Березовский,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Нижневартовский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Сургутский</w:t>
            </w:r>
            <w:proofErr w:type="spellEnd"/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9C6801">
        <w:tc>
          <w:tcPr>
            <w:tcW w:w="3793" w:type="dxa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зона на территории муниципальных образований городских округов: Ханты-Мансийск, Нефтеюганск,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муниципальных районов: Октябрьский, Советский, </w:t>
            </w:r>
            <w:proofErr w:type="spellStart"/>
            <w:r>
              <w:rPr>
                <w:sz w:val="22"/>
                <w:szCs w:val="22"/>
              </w:rPr>
              <w:t>Нефтеюганский</w:t>
            </w:r>
            <w:proofErr w:type="spellEnd"/>
            <w:r>
              <w:rPr>
                <w:sz w:val="22"/>
                <w:szCs w:val="22"/>
              </w:rPr>
              <w:t xml:space="preserve">, Ханты-Мансийский, </w:t>
            </w:r>
            <w:proofErr w:type="spellStart"/>
            <w:r>
              <w:rPr>
                <w:sz w:val="22"/>
                <w:szCs w:val="22"/>
              </w:rPr>
              <w:t>Кондинский</w:t>
            </w:r>
            <w:proofErr w:type="spellEnd"/>
            <w:r>
              <w:rPr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9C6801">
        <w:tc>
          <w:tcPr>
            <w:tcW w:w="3793" w:type="dxa"/>
          </w:tcPr>
          <w:p w:rsidR="009C6801" w:rsidRDefault="008861B9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9C6801" w:rsidRDefault="008861B9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9C6801" w:rsidRDefault="009C6801" w:rsidP="00726169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  <w:bookmarkStart w:id="1" w:name="_GoBack"/>
      <w:bookmarkEnd w:id="1"/>
    </w:p>
    <w:sectPr w:rsidR="009C6801">
      <w:headerReference w:type="default" r:id="rId18"/>
      <w:headerReference w:type="first" r:id="rId19"/>
      <w:footerReference w:type="first" r:id="rId20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E1" w:rsidRDefault="00D973E1">
      <w:r>
        <w:separator/>
      </w:r>
    </w:p>
  </w:endnote>
  <w:endnote w:type="continuationSeparator" w:id="0">
    <w:p w:rsidR="00D973E1" w:rsidRDefault="00D9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01" w:rsidRDefault="009C6801">
    <w:pPr>
      <w:pStyle w:val="afb"/>
      <w:jc w:val="center"/>
    </w:pPr>
  </w:p>
  <w:p w:rsidR="009C6801" w:rsidRDefault="009C680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E1" w:rsidRDefault="00D973E1">
      <w:r>
        <w:separator/>
      </w:r>
    </w:p>
  </w:footnote>
  <w:footnote w:type="continuationSeparator" w:id="0">
    <w:p w:rsidR="00D973E1" w:rsidRDefault="00D9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01" w:rsidRDefault="009C6801">
    <w:pPr>
      <w:pStyle w:val="af9"/>
      <w:jc w:val="center"/>
    </w:pPr>
  </w:p>
  <w:p w:rsidR="009C6801" w:rsidRDefault="009C680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01" w:rsidRDefault="009C6801">
    <w:pPr>
      <w:pStyle w:val="af9"/>
      <w:jc w:val="center"/>
    </w:pPr>
  </w:p>
  <w:p w:rsidR="009C6801" w:rsidRDefault="009C680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78B"/>
    <w:multiLevelType w:val="multilevel"/>
    <w:tmpl w:val="A8CE5A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">
    <w:nsid w:val="04B252DC"/>
    <w:multiLevelType w:val="hybridMultilevel"/>
    <w:tmpl w:val="26DE96A2"/>
    <w:lvl w:ilvl="0" w:tplc="70A4AB02">
      <w:start w:val="1"/>
      <w:numFmt w:val="decimal"/>
      <w:lvlText w:val="%1."/>
      <w:lvlJc w:val="left"/>
      <w:pPr>
        <w:ind w:left="1260" w:hanging="360"/>
      </w:pPr>
    </w:lvl>
    <w:lvl w:ilvl="1" w:tplc="0A244D0C">
      <w:start w:val="1"/>
      <w:numFmt w:val="lowerLetter"/>
      <w:lvlText w:val="%2."/>
      <w:lvlJc w:val="left"/>
      <w:pPr>
        <w:ind w:left="1980" w:hanging="360"/>
      </w:pPr>
    </w:lvl>
    <w:lvl w:ilvl="2" w:tplc="3642D830">
      <w:start w:val="1"/>
      <w:numFmt w:val="lowerRoman"/>
      <w:lvlText w:val="%3."/>
      <w:lvlJc w:val="right"/>
      <w:pPr>
        <w:ind w:left="2700" w:hanging="180"/>
      </w:pPr>
    </w:lvl>
    <w:lvl w:ilvl="3" w:tplc="699ABEEC">
      <w:start w:val="1"/>
      <w:numFmt w:val="decimal"/>
      <w:lvlText w:val="%4."/>
      <w:lvlJc w:val="left"/>
      <w:pPr>
        <w:ind w:left="3420" w:hanging="360"/>
      </w:pPr>
    </w:lvl>
    <w:lvl w:ilvl="4" w:tplc="0EFC2E72">
      <w:start w:val="1"/>
      <w:numFmt w:val="lowerLetter"/>
      <w:lvlText w:val="%5."/>
      <w:lvlJc w:val="left"/>
      <w:pPr>
        <w:ind w:left="4140" w:hanging="360"/>
      </w:pPr>
    </w:lvl>
    <w:lvl w:ilvl="5" w:tplc="14546266">
      <w:start w:val="1"/>
      <w:numFmt w:val="lowerRoman"/>
      <w:lvlText w:val="%6."/>
      <w:lvlJc w:val="right"/>
      <w:pPr>
        <w:ind w:left="4860" w:hanging="180"/>
      </w:pPr>
    </w:lvl>
    <w:lvl w:ilvl="6" w:tplc="62246EDE">
      <w:start w:val="1"/>
      <w:numFmt w:val="decimal"/>
      <w:lvlText w:val="%7."/>
      <w:lvlJc w:val="left"/>
      <w:pPr>
        <w:ind w:left="5580" w:hanging="360"/>
      </w:pPr>
    </w:lvl>
    <w:lvl w:ilvl="7" w:tplc="CC2E87DE">
      <w:start w:val="1"/>
      <w:numFmt w:val="lowerLetter"/>
      <w:lvlText w:val="%8."/>
      <w:lvlJc w:val="left"/>
      <w:pPr>
        <w:ind w:left="6300" w:hanging="360"/>
      </w:pPr>
    </w:lvl>
    <w:lvl w:ilvl="8" w:tplc="ECA4D9D2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5269E4"/>
    <w:multiLevelType w:val="hybridMultilevel"/>
    <w:tmpl w:val="484CF598"/>
    <w:lvl w:ilvl="0" w:tplc="8E6AF486">
      <w:start w:val="1"/>
      <w:numFmt w:val="decimal"/>
      <w:lvlText w:val="%1."/>
      <w:lvlJc w:val="left"/>
      <w:pPr>
        <w:ind w:left="720" w:hanging="360"/>
      </w:pPr>
    </w:lvl>
    <w:lvl w:ilvl="1" w:tplc="778A73F2">
      <w:start w:val="1"/>
      <w:numFmt w:val="lowerLetter"/>
      <w:lvlText w:val="%2."/>
      <w:lvlJc w:val="left"/>
      <w:pPr>
        <w:ind w:left="1440" w:hanging="360"/>
      </w:pPr>
    </w:lvl>
    <w:lvl w:ilvl="2" w:tplc="A38802A2">
      <w:start w:val="1"/>
      <w:numFmt w:val="lowerRoman"/>
      <w:lvlText w:val="%3."/>
      <w:lvlJc w:val="right"/>
      <w:pPr>
        <w:ind w:left="2160" w:hanging="180"/>
      </w:pPr>
    </w:lvl>
    <w:lvl w:ilvl="3" w:tplc="5E6835BE">
      <w:start w:val="1"/>
      <w:numFmt w:val="decimal"/>
      <w:lvlText w:val="%4."/>
      <w:lvlJc w:val="left"/>
      <w:pPr>
        <w:ind w:left="2880" w:hanging="360"/>
      </w:pPr>
    </w:lvl>
    <w:lvl w:ilvl="4" w:tplc="117E77A4">
      <w:start w:val="1"/>
      <w:numFmt w:val="lowerLetter"/>
      <w:lvlText w:val="%5."/>
      <w:lvlJc w:val="left"/>
      <w:pPr>
        <w:ind w:left="3600" w:hanging="360"/>
      </w:pPr>
    </w:lvl>
    <w:lvl w:ilvl="5" w:tplc="728E42AC">
      <w:start w:val="1"/>
      <w:numFmt w:val="lowerRoman"/>
      <w:lvlText w:val="%6."/>
      <w:lvlJc w:val="right"/>
      <w:pPr>
        <w:ind w:left="4320" w:hanging="180"/>
      </w:pPr>
    </w:lvl>
    <w:lvl w:ilvl="6" w:tplc="4B660BE8">
      <w:start w:val="1"/>
      <w:numFmt w:val="decimal"/>
      <w:lvlText w:val="%7."/>
      <w:lvlJc w:val="left"/>
      <w:pPr>
        <w:ind w:left="5040" w:hanging="360"/>
      </w:pPr>
    </w:lvl>
    <w:lvl w:ilvl="7" w:tplc="12FA7E64">
      <w:start w:val="1"/>
      <w:numFmt w:val="lowerLetter"/>
      <w:lvlText w:val="%8."/>
      <w:lvlJc w:val="left"/>
      <w:pPr>
        <w:ind w:left="5760" w:hanging="360"/>
      </w:pPr>
    </w:lvl>
    <w:lvl w:ilvl="8" w:tplc="59D0F1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1CDF"/>
    <w:multiLevelType w:val="multilevel"/>
    <w:tmpl w:val="DA8843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4">
    <w:nsid w:val="243F3A4E"/>
    <w:multiLevelType w:val="hybridMultilevel"/>
    <w:tmpl w:val="09EABB38"/>
    <w:lvl w:ilvl="0" w:tplc="DD7C5E9A">
      <w:start w:val="1"/>
      <w:numFmt w:val="decimal"/>
      <w:lvlText w:val="%1."/>
      <w:lvlJc w:val="left"/>
      <w:pPr>
        <w:ind w:left="720" w:hanging="360"/>
      </w:pPr>
    </w:lvl>
    <w:lvl w:ilvl="1" w:tplc="BF2A256A">
      <w:start w:val="1"/>
      <w:numFmt w:val="lowerLetter"/>
      <w:lvlText w:val="%2."/>
      <w:lvlJc w:val="left"/>
      <w:pPr>
        <w:ind w:left="1440" w:hanging="360"/>
      </w:pPr>
    </w:lvl>
    <w:lvl w:ilvl="2" w:tplc="9C641450">
      <w:start w:val="1"/>
      <w:numFmt w:val="lowerRoman"/>
      <w:lvlText w:val="%3."/>
      <w:lvlJc w:val="right"/>
      <w:pPr>
        <w:ind w:left="2160" w:hanging="180"/>
      </w:pPr>
    </w:lvl>
    <w:lvl w:ilvl="3" w:tplc="7F72B0A0">
      <w:start w:val="1"/>
      <w:numFmt w:val="decimal"/>
      <w:lvlText w:val="%4."/>
      <w:lvlJc w:val="left"/>
      <w:pPr>
        <w:ind w:left="2880" w:hanging="360"/>
      </w:pPr>
    </w:lvl>
    <w:lvl w:ilvl="4" w:tplc="85884F0A">
      <w:start w:val="1"/>
      <w:numFmt w:val="lowerLetter"/>
      <w:lvlText w:val="%5."/>
      <w:lvlJc w:val="left"/>
      <w:pPr>
        <w:ind w:left="3600" w:hanging="360"/>
      </w:pPr>
    </w:lvl>
    <w:lvl w:ilvl="5" w:tplc="A8068BF6">
      <w:start w:val="1"/>
      <w:numFmt w:val="lowerRoman"/>
      <w:lvlText w:val="%6."/>
      <w:lvlJc w:val="right"/>
      <w:pPr>
        <w:ind w:left="4320" w:hanging="180"/>
      </w:pPr>
    </w:lvl>
    <w:lvl w:ilvl="6" w:tplc="F1C6EE60">
      <w:start w:val="1"/>
      <w:numFmt w:val="decimal"/>
      <w:lvlText w:val="%7."/>
      <w:lvlJc w:val="left"/>
      <w:pPr>
        <w:ind w:left="5040" w:hanging="360"/>
      </w:pPr>
    </w:lvl>
    <w:lvl w:ilvl="7" w:tplc="751AF9E4">
      <w:start w:val="1"/>
      <w:numFmt w:val="lowerLetter"/>
      <w:lvlText w:val="%8."/>
      <w:lvlJc w:val="left"/>
      <w:pPr>
        <w:ind w:left="5760" w:hanging="360"/>
      </w:pPr>
    </w:lvl>
    <w:lvl w:ilvl="8" w:tplc="26AC0C2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04B1"/>
    <w:multiLevelType w:val="hybridMultilevel"/>
    <w:tmpl w:val="6CEE62A8"/>
    <w:lvl w:ilvl="0" w:tplc="387E84C8">
      <w:start w:val="1"/>
      <w:numFmt w:val="decimal"/>
      <w:lvlText w:val="%1."/>
      <w:lvlJc w:val="left"/>
      <w:pPr>
        <w:ind w:left="1428" w:hanging="360"/>
      </w:pPr>
    </w:lvl>
    <w:lvl w:ilvl="1" w:tplc="5E9AB368">
      <w:start w:val="1"/>
      <w:numFmt w:val="lowerLetter"/>
      <w:lvlText w:val="%2."/>
      <w:lvlJc w:val="left"/>
      <w:pPr>
        <w:ind w:left="2148" w:hanging="360"/>
      </w:pPr>
    </w:lvl>
    <w:lvl w:ilvl="2" w:tplc="43EAD102">
      <w:start w:val="1"/>
      <w:numFmt w:val="lowerRoman"/>
      <w:lvlText w:val="%3."/>
      <w:lvlJc w:val="right"/>
      <w:pPr>
        <w:ind w:left="2868" w:hanging="180"/>
      </w:pPr>
    </w:lvl>
    <w:lvl w:ilvl="3" w:tplc="BDE44CD8">
      <w:start w:val="1"/>
      <w:numFmt w:val="decimal"/>
      <w:lvlText w:val="%4."/>
      <w:lvlJc w:val="left"/>
      <w:pPr>
        <w:ind w:left="3588" w:hanging="360"/>
      </w:pPr>
    </w:lvl>
    <w:lvl w:ilvl="4" w:tplc="7A64F1EC">
      <w:start w:val="1"/>
      <w:numFmt w:val="lowerLetter"/>
      <w:lvlText w:val="%5."/>
      <w:lvlJc w:val="left"/>
      <w:pPr>
        <w:ind w:left="4308" w:hanging="360"/>
      </w:pPr>
    </w:lvl>
    <w:lvl w:ilvl="5" w:tplc="6B40D1E6">
      <w:start w:val="1"/>
      <w:numFmt w:val="lowerRoman"/>
      <w:lvlText w:val="%6."/>
      <w:lvlJc w:val="right"/>
      <w:pPr>
        <w:ind w:left="5028" w:hanging="180"/>
      </w:pPr>
    </w:lvl>
    <w:lvl w:ilvl="6" w:tplc="F3E07F6C">
      <w:start w:val="1"/>
      <w:numFmt w:val="decimal"/>
      <w:lvlText w:val="%7."/>
      <w:lvlJc w:val="left"/>
      <w:pPr>
        <w:ind w:left="5748" w:hanging="360"/>
      </w:pPr>
    </w:lvl>
    <w:lvl w:ilvl="7" w:tplc="C80C07B8">
      <w:start w:val="1"/>
      <w:numFmt w:val="lowerLetter"/>
      <w:lvlText w:val="%8."/>
      <w:lvlJc w:val="left"/>
      <w:pPr>
        <w:ind w:left="6468" w:hanging="360"/>
      </w:pPr>
    </w:lvl>
    <w:lvl w:ilvl="8" w:tplc="68E6B3D2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88623F"/>
    <w:multiLevelType w:val="hybridMultilevel"/>
    <w:tmpl w:val="ADF2BFD2"/>
    <w:lvl w:ilvl="0" w:tplc="7A906DBE">
      <w:start w:val="1"/>
      <w:numFmt w:val="decimal"/>
      <w:lvlText w:val="%1."/>
      <w:lvlJc w:val="left"/>
      <w:pPr>
        <w:ind w:left="720" w:hanging="360"/>
      </w:pPr>
    </w:lvl>
    <w:lvl w:ilvl="1" w:tplc="8636507C">
      <w:start w:val="1"/>
      <w:numFmt w:val="lowerLetter"/>
      <w:lvlText w:val="%2."/>
      <w:lvlJc w:val="left"/>
      <w:pPr>
        <w:ind w:left="1440" w:hanging="360"/>
      </w:pPr>
    </w:lvl>
    <w:lvl w:ilvl="2" w:tplc="F5B48DCC">
      <w:start w:val="1"/>
      <w:numFmt w:val="lowerRoman"/>
      <w:lvlText w:val="%3."/>
      <w:lvlJc w:val="right"/>
      <w:pPr>
        <w:ind w:left="2160" w:hanging="180"/>
      </w:pPr>
    </w:lvl>
    <w:lvl w:ilvl="3" w:tplc="3946A520">
      <w:start w:val="1"/>
      <w:numFmt w:val="decimal"/>
      <w:lvlText w:val="%4."/>
      <w:lvlJc w:val="left"/>
      <w:pPr>
        <w:ind w:left="2880" w:hanging="360"/>
      </w:pPr>
    </w:lvl>
    <w:lvl w:ilvl="4" w:tplc="4000D09C">
      <w:start w:val="1"/>
      <w:numFmt w:val="lowerLetter"/>
      <w:lvlText w:val="%5."/>
      <w:lvlJc w:val="left"/>
      <w:pPr>
        <w:ind w:left="3600" w:hanging="360"/>
      </w:pPr>
    </w:lvl>
    <w:lvl w:ilvl="5" w:tplc="7408E0F0">
      <w:start w:val="1"/>
      <w:numFmt w:val="lowerRoman"/>
      <w:lvlText w:val="%6."/>
      <w:lvlJc w:val="right"/>
      <w:pPr>
        <w:ind w:left="4320" w:hanging="180"/>
      </w:pPr>
    </w:lvl>
    <w:lvl w:ilvl="6" w:tplc="F564A8AC">
      <w:start w:val="1"/>
      <w:numFmt w:val="decimal"/>
      <w:lvlText w:val="%7."/>
      <w:lvlJc w:val="left"/>
      <w:pPr>
        <w:ind w:left="5040" w:hanging="360"/>
      </w:pPr>
    </w:lvl>
    <w:lvl w:ilvl="7" w:tplc="44E2E744">
      <w:start w:val="1"/>
      <w:numFmt w:val="lowerLetter"/>
      <w:lvlText w:val="%8."/>
      <w:lvlJc w:val="left"/>
      <w:pPr>
        <w:ind w:left="5760" w:hanging="360"/>
      </w:pPr>
    </w:lvl>
    <w:lvl w:ilvl="8" w:tplc="D5F24A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5D07"/>
    <w:multiLevelType w:val="hybridMultilevel"/>
    <w:tmpl w:val="1EA0560E"/>
    <w:lvl w:ilvl="0" w:tplc="CC763EEE">
      <w:start w:val="1"/>
      <w:numFmt w:val="decimal"/>
      <w:lvlText w:val="%1."/>
      <w:lvlJc w:val="left"/>
      <w:pPr>
        <w:ind w:left="360" w:hanging="360"/>
      </w:pPr>
    </w:lvl>
    <w:lvl w:ilvl="1" w:tplc="B3E25518">
      <w:start w:val="1"/>
      <w:numFmt w:val="lowerLetter"/>
      <w:lvlText w:val="%2."/>
      <w:lvlJc w:val="left"/>
      <w:pPr>
        <w:ind w:left="1080" w:hanging="360"/>
      </w:pPr>
    </w:lvl>
    <w:lvl w:ilvl="2" w:tplc="D6EE19E6">
      <w:start w:val="1"/>
      <w:numFmt w:val="lowerRoman"/>
      <w:lvlText w:val="%3."/>
      <w:lvlJc w:val="right"/>
      <w:pPr>
        <w:ind w:left="1800" w:hanging="180"/>
      </w:pPr>
    </w:lvl>
    <w:lvl w:ilvl="3" w:tplc="F30A6EC8">
      <w:start w:val="1"/>
      <w:numFmt w:val="decimal"/>
      <w:lvlText w:val="%4."/>
      <w:lvlJc w:val="left"/>
      <w:pPr>
        <w:ind w:left="2520" w:hanging="360"/>
      </w:pPr>
    </w:lvl>
    <w:lvl w:ilvl="4" w:tplc="5B181270">
      <w:start w:val="1"/>
      <w:numFmt w:val="lowerLetter"/>
      <w:lvlText w:val="%5."/>
      <w:lvlJc w:val="left"/>
      <w:pPr>
        <w:ind w:left="3240" w:hanging="360"/>
      </w:pPr>
    </w:lvl>
    <w:lvl w:ilvl="5" w:tplc="B9405460">
      <w:start w:val="1"/>
      <w:numFmt w:val="lowerRoman"/>
      <w:lvlText w:val="%6."/>
      <w:lvlJc w:val="right"/>
      <w:pPr>
        <w:ind w:left="3960" w:hanging="180"/>
      </w:pPr>
    </w:lvl>
    <w:lvl w:ilvl="6" w:tplc="5046189C">
      <w:start w:val="1"/>
      <w:numFmt w:val="decimal"/>
      <w:lvlText w:val="%7."/>
      <w:lvlJc w:val="left"/>
      <w:pPr>
        <w:ind w:left="4680" w:hanging="360"/>
      </w:pPr>
    </w:lvl>
    <w:lvl w:ilvl="7" w:tplc="8D322664">
      <w:start w:val="1"/>
      <w:numFmt w:val="lowerLetter"/>
      <w:lvlText w:val="%8."/>
      <w:lvlJc w:val="left"/>
      <w:pPr>
        <w:ind w:left="5400" w:hanging="360"/>
      </w:pPr>
    </w:lvl>
    <w:lvl w:ilvl="8" w:tplc="1D3618E4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8A750A"/>
    <w:multiLevelType w:val="hybridMultilevel"/>
    <w:tmpl w:val="AAA29102"/>
    <w:lvl w:ilvl="0" w:tplc="6DBE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8C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ACA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83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C8D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504F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4B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4CC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679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51539"/>
    <w:multiLevelType w:val="hybridMultilevel"/>
    <w:tmpl w:val="D5A48516"/>
    <w:lvl w:ilvl="0" w:tplc="419689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DF24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4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E6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E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2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3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A4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CC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1"/>
    <w:rsid w:val="00726169"/>
    <w:rsid w:val="008861B9"/>
    <w:rsid w:val="009C6801"/>
    <w:rsid w:val="00CE0811"/>
    <w:rsid w:val="00D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c.admtyume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ugra-ecology.ru/calculator" TargetMode="External"/><Relationship Id="rId17" Type="http://schemas.openxmlformats.org/officeDocument/2006/relationships/hyperlink" Target="http://www.rst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pprom.admhmao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dokumen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s.admhmao.ru/" TargetMode="External"/><Relationship Id="rId10" Type="http://schemas.openxmlformats.org/officeDocument/2006/relationships/hyperlink" Target="http://bptr.eias.admhmao.ru/TariffDecisions?reg=RU.5.86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admhmao.ru/dokumenty/pravovye-akty-gubernatora/9559393/" TargetMode="External"/><Relationship Id="rId14" Type="http://schemas.openxmlformats.org/officeDocument/2006/relationships/hyperlink" Target="http://www.jsn.admhma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15ED-6D32-41E5-AFDB-94DA64CB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Дорошок Е.М.</cp:lastModifiedBy>
  <cp:revision>3</cp:revision>
  <dcterms:created xsi:type="dcterms:W3CDTF">2024-01-25T06:33:00Z</dcterms:created>
  <dcterms:modified xsi:type="dcterms:W3CDTF">2024-01-25T06:35:00Z</dcterms:modified>
</cp:coreProperties>
</file>