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F9" w:rsidRPr="005D702A" w:rsidRDefault="009539F9" w:rsidP="009539F9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9539F9" w:rsidRPr="004848E6" w:rsidRDefault="009539F9" w:rsidP="009539F9">
      <w:pPr>
        <w:spacing w:line="276" w:lineRule="auto"/>
        <w:ind w:firstLine="567"/>
        <w:jc w:val="both"/>
      </w:pPr>
      <w:proofErr w:type="gramStart"/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  <w:proofErr w:type="gramEnd"/>
    </w:p>
    <w:p w:rsidR="009539F9" w:rsidRPr="00F64975" w:rsidRDefault="009539F9" w:rsidP="009539F9">
      <w:pPr>
        <w:spacing w:line="276" w:lineRule="auto"/>
        <w:ind w:firstLine="567"/>
        <w:jc w:val="both"/>
      </w:pPr>
      <w:proofErr w:type="gramStart"/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  <w:proofErr w:type="gramEnd"/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lastRenderedPageBreak/>
        <w:t>с 1 декабря 2022 года – 9% к ноябрю 2022 года;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2023 год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8" w:history="1">
        <w:r w:rsidRPr="00CA40BE">
          <w:rPr>
            <w:rStyle w:val="a5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</w:t>
      </w:r>
      <w:proofErr w:type="gramEnd"/>
      <w:r w:rsidRPr="00CA40BE">
        <w:t xml:space="preserve"> образований автономного округа в размере: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proofErr w:type="gramEnd"/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9" w:history="1">
        <w:r w:rsidRPr="00FD6356">
          <w:rPr>
            <w:rStyle w:val="a5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0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2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3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</w:t>
      </w:r>
      <w:proofErr w:type="gramEnd"/>
      <w:r w:rsidRPr="0073716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539F9" w:rsidRDefault="009539F9" w:rsidP="009539F9">
      <w:pPr>
        <w:spacing w:line="276" w:lineRule="auto"/>
        <w:ind w:firstLine="567"/>
        <w:jc w:val="both"/>
      </w:pPr>
      <w:r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</w:t>
      </w:r>
      <w:r w:rsidRPr="00C81D66">
        <w:lastRenderedPageBreak/>
        <w:t>роста размера платы за коммунальные услуги установленным ограничениям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</w:p>
    <w:p w:rsidR="009539F9" w:rsidRDefault="008010F3" w:rsidP="009539F9">
      <w:r w:rsidRPr="008010F3">
        <w:rPr>
          <w:noProof/>
          <w:sz w:val="22"/>
          <w:szCs w:val="22"/>
        </w:rPr>
        <w:pict>
          <v:group id="Группа 13" o:spid="_x0000_s1049" style="position:absolute;margin-left:8.9pt;margin-top:12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<v:stroke linestyle="thickThin"/>
                <v:shadow color="#868686"/>
                <v:textbox>
                  <w:txbxContent>
                    <w:p w:rsidR="00080D82" w:rsidRDefault="00080D82" w:rsidP="009539F9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</w:p>
                    <w:p w:rsidR="00080D82" w:rsidRPr="005D702A" w:rsidRDefault="00080D82" w:rsidP="009539F9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8064A2"/>
                          <w:sz w:val="22"/>
                          <w:szCs w:val="22"/>
                        </w:rPr>
                        <w:t>Совокупный платеж за коммунальные услуги</w:t>
                      </w:r>
                    </w:p>
                  </w:txbxContent>
                </v:textbox>
              </v:rect>
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<v:shadow color="#868686"/>
                <v:textbox>
                  <w:txbxContent>
                    <w:p w:rsidR="00080D82" w:rsidRPr="00435538" w:rsidRDefault="00080D82" w:rsidP="009539F9">
                      <w:pPr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  <w:vertAlign w:val="subscript"/>
                          <w:lang w:val="en-US"/>
                        </w:rPr>
                      </w:pPr>
                      <w:r w:rsidRPr="005D702A">
                        <w:rPr>
                          <w:b/>
                          <w:color w:val="C00000"/>
                          <w:sz w:val="22"/>
                          <w:szCs w:val="22"/>
                        </w:rPr>
                        <w:t>Т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C00000"/>
                          <w:sz w:val="22"/>
                          <w:szCs w:val="22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  <w:p w:rsidR="00080D82" w:rsidRPr="00D5139A" w:rsidRDefault="00080D82" w:rsidP="009539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5139A">
                        <w:rPr>
                          <w:b/>
                          <w:sz w:val="20"/>
                          <w:szCs w:val="20"/>
                        </w:rPr>
                        <w:t>(тариф)</w:t>
                      </w:r>
                    </w:p>
                  </w:txbxContent>
                </v:textbox>
              </v:re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<v:fill color2="#df6a09" focusposition=".5,.5" focussize="" focus="100%" type="gradientRadial"/>
                <v:shadow on="t" color="#974706" offset="1pt"/>
              </v:shape>
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<v:fill color2="#df6a09" focusposition=".5,.5" focussize="" focus="100%" type="gradientRadial"/>
                  <v:shadow on="t" color="#974706" offset="1pt"/>
                </v:rect>
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<v:fill color2="#df6a09" focusposition=".5,.5" focussize="" focus="100%" type="gradientRadial"/>
                  <v:shadow on="t" color="#974706" offset="1pt"/>
                </v:rect>
              </v:group>
            </v:group>
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<v:stroke dashstyle="dash"/>
                <v:shadow color="#868686"/>
                <v:textbox>
                  <w:txbxContent>
                    <w:p w:rsidR="00080D82" w:rsidRPr="005D702A" w:rsidRDefault="00080D82" w:rsidP="009539F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N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  <w:vertAlign w:val="subscript"/>
                          <w:lang w:val="en-US"/>
                        </w:rPr>
                        <w:t>i</w:t>
                      </w: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 w:rsidRPr="00D5139A">
                        <w:rPr>
                          <w:b/>
                          <w:sz w:val="20"/>
                          <w:szCs w:val="20"/>
                        </w:rPr>
                        <w:t>(норматив потребления КУ, норматив накопления ТКО)</w:t>
                      </w:r>
                    </w:p>
                    <w:p w:rsidR="00080D82" w:rsidRDefault="00080D82" w:rsidP="009539F9">
                      <w:pPr>
                        <w:jc w:val="center"/>
                      </w:pPr>
                    </w:p>
                    <w:p w:rsidR="00080D82" w:rsidRDefault="00080D82" w:rsidP="009539F9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<v:stroke dashstyle="dash"/>
                <v:shadow color="#868686"/>
                <v:textbox>
                  <w:txbxContent>
                    <w:p w:rsidR="00080D82" w:rsidRDefault="00080D82" w:rsidP="009539F9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</w:p>
                    <w:p w:rsidR="00080D82" w:rsidRPr="00D5139A" w:rsidRDefault="00080D82" w:rsidP="009539F9">
                      <w:pPr>
                        <w:jc w:val="center"/>
                        <w:rPr>
                          <w:b/>
                          <w:color w:val="1F497D"/>
                          <w:sz w:val="20"/>
                          <w:szCs w:val="20"/>
                        </w:rPr>
                      </w:pPr>
                      <w:proofErr w:type="gramStart"/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gramEnd"/>
                      <w:r w:rsidRPr="00435538">
                        <w:rPr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 w:rsidRPr="00D5139A">
                        <w:rPr>
                          <w:b/>
                          <w:sz w:val="20"/>
                          <w:szCs w:val="20"/>
                        </w:rPr>
                        <w:t>(объем потребления коммунального ресурса по приборам учета)</w:t>
                      </w:r>
                    </w:p>
                  </w:txbxContent>
                </v:textbox>
              </v:rect>
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080D82" w:rsidRPr="005D702A" w:rsidRDefault="00080D82" w:rsidP="009539F9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</w:rPr>
                        <w:t>или</w:t>
                      </w:r>
                    </w:p>
                  </w:txbxContent>
                </v:textbox>
              </v:re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 style="layout-flow:vertical-ideographic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 style="layout-flow:vertical-ideographic"/>
              </v:shape>
            </v:group>
            <w10:wrap anchorx="margin"/>
          </v:group>
        </w:pict>
      </w:r>
    </w:p>
    <w:p w:rsidR="009539F9" w:rsidRDefault="008010F3" w:rsidP="009539F9">
      <w:pPr>
        <w:tabs>
          <w:tab w:val="right" w:pos="9355"/>
        </w:tabs>
      </w:pPr>
      <w:r w:rsidRPr="008010F3">
        <w:rPr>
          <w:b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2" o:spid="_x0000_s1048" type="#_x0000_t86" style="position:absolute;margin-left:439.25pt;margin-top:12.6pt;width:10.3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" adj="135" strokecolor="#4472c4 [3204]" strokeweight=".5pt">
            <v:stroke joinstyle="miter"/>
          </v:shape>
        </w:pict>
      </w:r>
      <w:r w:rsidR="009539F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9539F9" w:rsidRPr="00494227" w:rsidTr="00770D17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9F9" w:rsidRPr="003A0006" w:rsidRDefault="008010F3" w:rsidP="00770D17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8010F3">
              <w:rPr>
                <w:b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3" o:spid="_x0000_s1047" type="#_x0000_t85" style="position:absolute;margin-left:50.8pt;margin-top:-5.8pt;width:9.75pt;height:13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" adj="131" strokecolor="#4472c4 [3204]" strokeweight=".5pt">
                  <v:stroke joinstyle="miter"/>
                </v:shape>
              </w:pict>
            </w:r>
          </w:p>
        </w:tc>
      </w:tr>
    </w:tbl>
    <w:p w:rsidR="009539F9" w:rsidRDefault="009539F9" w:rsidP="009539F9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9539F9" w:rsidRDefault="008010F3" w:rsidP="009539F9">
      <w:pPr>
        <w:tabs>
          <w:tab w:val="left" w:pos="3795"/>
        </w:tabs>
        <w:rPr>
          <w:b/>
        </w:rPr>
      </w:pPr>
      <w:r w:rsidRPr="008010F3"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40" type="#_x0000_t202" style="position:absolute;margin-left:181.6pt;margin-top:1pt;width:37.3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<v:textbox>
              <w:txbxContent>
                <w:p w:rsidR="00080D82" w:rsidRPr="0021248A" w:rsidRDefault="00080D82" w:rsidP="009539F9">
                  <w:pPr>
                    <w:tabs>
                      <w:tab w:val="left" w:pos="3795"/>
                    </w:tabs>
                    <w:jc w:val="center"/>
                    <w:rPr>
                      <w:b/>
                      <w:iCs/>
                      <w:color w:val="1F497D"/>
                      <w:sz w:val="32"/>
                      <w:szCs w:val="32"/>
                      <w:vertAlign w:val="superscript"/>
                      <w:lang w:val="en-US"/>
                    </w:rPr>
                  </w:pPr>
                  <w:r w:rsidRPr="0021248A">
                    <w:rPr>
                      <w:rStyle w:val="ae"/>
                      <w:rFonts w:ascii="Arial Black" w:hAnsi="Arial Black" w:cs="Calibri"/>
                      <w:b/>
                      <w:color w:val="1F497D"/>
                      <w:sz w:val="32"/>
                      <w:szCs w:val="32"/>
                      <w:vertAlign w:val="superscript"/>
                      <w:lang w:val="en-US"/>
                    </w:rPr>
                    <w:t>n</w:t>
                  </w:r>
                  <w:r w:rsidRPr="00D5139A">
                    <w:rPr>
                      <w:rStyle w:val="ae"/>
                      <w:rFonts w:ascii="Arial Black" w:hAnsi="Arial Black" w:cs="Calibri"/>
                      <w:b/>
                      <w:color w:val="1F497D"/>
                      <w:sz w:val="48"/>
                      <w:szCs w:val="48"/>
                    </w:rPr>
                    <w:t>∑</w:t>
                  </w:r>
                  <w:proofErr w:type="spellStart"/>
                  <w:r w:rsidRPr="0021248A">
                    <w:rPr>
                      <w:rStyle w:val="ae"/>
                      <w:rFonts w:ascii="Arial Black" w:hAnsi="Arial Black" w:cs="Calibri"/>
                      <w:b/>
                      <w:color w:val="1F497D"/>
                      <w:sz w:val="32"/>
                      <w:szCs w:val="32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9539F9" w:rsidRDefault="009539F9" w:rsidP="009539F9">
      <w:pPr>
        <w:tabs>
          <w:tab w:val="left" w:pos="3795"/>
        </w:tabs>
        <w:rPr>
          <w:b/>
        </w:rPr>
      </w:pPr>
    </w:p>
    <w:p w:rsidR="009539F9" w:rsidRDefault="009539F9" w:rsidP="009539F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9539F9" w:rsidRPr="00756A8C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</w:p>
    <w:p w:rsidR="009539F9" w:rsidRPr="0073716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9539F9" w:rsidRPr="0073716A" w:rsidRDefault="009539F9" w:rsidP="009539F9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>за коммунальные услуги в сопоставимых условиях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Для того</w:t>
      </w:r>
      <w:proofErr w:type="gramStart"/>
      <w:r w:rsidRPr="0073716A">
        <w:rPr>
          <w:rFonts w:eastAsia="Calibri"/>
        </w:rPr>
        <w:t>,</w:t>
      </w:r>
      <w:proofErr w:type="gramEnd"/>
      <w:r w:rsidRPr="0073716A">
        <w:rPr>
          <w:rFonts w:eastAsia="Calibri"/>
        </w:rPr>
        <w:t xml:space="preserve"> чтобы самостоятельно сравнить рост платы за коммунальные услуги </w:t>
      </w:r>
      <w:r>
        <w:rPr>
          <w:rFonts w:eastAsia="Calibri"/>
        </w:rPr>
        <w:t xml:space="preserve">         </w:t>
      </w:r>
      <w:r w:rsidRPr="0073716A">
        <w:rPr>
          <w:rFonts w:eastAsia="Calibri"/>
        </w:rPr>
        <w:t>(с 1 декабря 2022 года по 31 декабря 2023 с установленным пределом, необходимо: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а) найти используемый в расчете объем коммунальной услуги: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 w:rsidRPr="00F90B25">
        <w:rPr>
          <w:rFonts w:eastAsia="Calibri"/>
        </w:rPr>
        <w:t>проживающих</w:t>
      </w:r>
      <w:proofErr w:type="gramEnd"/>
      <w:r w:rsidRPr="00F90B25">
        <w:rPr>
          <w:rFonts w:eastAsia="Calibri"/>
        </w:rPr>
        <w:t xml:space="preserve"> объем холодной воды = 3,0 * 3 = 9,0 м3);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б) найти плату за каждую коммунальную услугу перемножив найденный объем (</w:t>
      </w:r>
      <w:proofErr w:type="gramStart"/>
      <w:r w:rsidRPr="000A7591">
        <w:rPr>
          <w:rFonts w:eastAsia="Calibri"/>
        </w:rPr>
        <w:t>см</w:t>
      </w:r>
      <w:proofErr w:type="gramEnd"/>
      <w:r w:rsidRPr="000A7591">
        <w:rPr>
          <w:rFonts w:eastAsia="Calibri"/>
        </w:rPr>
        <w:t>. пункт, а)) на тариф из платежки за декабрь 2023 года (с 1 декабря 2022 года по 31 декабря 2023);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коммунальные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lastRenderedPageBreak/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При этом</w:t>
      </w:r>
      <w:proofErr w:type="gramStart"/>
      <w:r w:rsidRPr="000A7591">
        <w:rPr>
          <w:rFonts w:eastAsia="Calibri"/>
        </w:rPr>
        <w:t>,</w:t>
      </w:r>
      <w:proofErr w:type="gramEnd"/>
      <w:r w:rsidRPr="000A7591"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9539F9" w:rsidRPr="00C81D66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Пример расчета изменения размера платы</w:t>
      </w: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 за коммунальные услуги (при наличии приборов учета) </w:t>
      </w:r>
    </w:p>
    <w:p w:rsidR="009539F9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9539F9" w:rsidRPr="000A7591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72A7A" w:rsidRDefault="009539F9" w:rsidP="009539F9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9539F9" w:rsidRDefault="008010F3" w:rsidP="009539F9">
      <w:pPr>
        <w:rPr>
          <w:rFonts w:eastAsia="Calibri"/>
          <w:sz w:val="20"/>
          <w:szCs w:val="18"/>
          <w:lang w:eastAsia="en-US"/>
        </w:rPr>
      </w:pPr>
      <w:r w:rsidRPr="008010F3">
        <w:rPr>
          <w:noProof/>
          <w:color w:val="FF0000"/>
          <w:sz w:val="20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6" o:spid="_x0000_s1046" type="#_x0000_t88" style="position:absolute;margin-left:376.85pt;margin-top:66.25pt;width:7.05pt;height:2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" adj="60" strokecolor="#4472c4 [3204]" strokeweight=".5pt">
            <v:stroke joinstyle="miter"/>
          </v:shape>
        </w:pict>
      </w:r>
      <w:r w:rsidRPr="008010F3">
        <w:rPr>
          <w:noProof/>
          <w:color w:val="FF0000"/>
          <w:sz w:val="20"/>
          <w:szCs w:val="18"/>
        </w:rPr>
        <w:pict>
          <v:rect id="Прямоугольник 10" o:spid="_x0000_s1041" style="position:absolute;margin-left:32pt;margin-top:127.65pt;width:61.6pt;height:82.4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<v:stroke dashstyle="longDash"/>
            <v:textbox>
              <w:txbxContent>
                <w:p w:rsidR="00080D82" w:rsidRPr="0028079F" w:rsidRDefault="00080D82" w:rsidP="009539F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>5 928,31</w:t>
                  </w:r>
                  <w:r w:rsidRPr="0028079F"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– </w:t>
                  </w:r>
                </w:p>
                <w:p w:rsidR="00080D82" w:rsidRPr="0028079F" w:rsidRDefault="00080D82" w:rsidP="009539F9">
                  <w:pPr>
                    <w:jc w:val="center"/>
                    <w:rPr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  <w:shd w:val="clear" w:color="auto" w:fill="FBE4D5"/>
                    </w:rPr>
                    <w:t>плата за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коммунальные услуги в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ноябре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202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2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года</w:t>
                  </w:r>
                </w:p>
              </w:txbxContent>
            </v:textbox>
            <w10:wrap anchorx="margin"/>
          </v:rect>
        </w:pict>
      </w:r>
      <w:r w:rsidR="009539F9"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6"/>
        <w:gridCol w:w="744"/>
        <w:gridCol w:w="900"/>
        <w:gridCol w:w="851"/>
        <w:gridCol w:w="1275"/>
      </w:tblGrid>
      <w:tr w:rsidR="009539F9" w:rsidRPr="00FF0AF2" w:rsidTr="00770D17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9539F9" w:rsidRPr="00FF0AF2" w:rsidTr="00770D17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9539F9" w:rsidRPr="00FF0AF2" w:rsidTr="00770D17">
        <w:trPr>
          <w:trHeight w:val="261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9539F9" w:rsidRPr="00FF0AF2" w:rsidTr="00770D17">
        <w:trPr>
          <w:trHeight w:val="2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9539F9" w:rsidRPr="00FF0AF2" w:rsidTr="00770D17">
        <w:trPr>
          <w:trHeight w:val="419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9539F9" w:rsidRPr="00FF0AF2" w:rsidTr="00770D17">
        <w:trPr>
          <w:trHeight w:val="338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9539F9" w:rsidRPr="00FF0AF2" w:rsidTr="00770D17">
        <w:trPr>
          <w:trHeight w:val="359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9539F9" w:rsidRPr="00FF0AF2" w:rsidTr="00770D17">
        <w:trPr>
          <w:trHeight w:val="41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9539F9" w:rsidRPr="00FF0AF2" w:rsidTr="00770D17">
        <w:trPr>
          <w:trHeight w:val="393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2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9539F9" w:rsidRPr="00FF0AF2" w:rsidTr="00770D17">
        <w:trPr>
          <w:trHeight w:val="315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9539F9" w:rsidRPr="00FF0AF2" w:rsidTr="00770D17">
        <w:trPr>
          <w:trHeight w:val="28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Домофон</w:t>
            </w:r>
            <w:proofErr w:type="spellEnd"/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FF0AF2" w:rsidTr="00770D17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9539F9" w:rsidRDefault="009539F9" w:rsidP="009539F9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9539F9" w:rsidRPr="00447C49" w:rsidRDefault="009539F9" w:rsidP="009539F9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Расчет платы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:rsidR="009539F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</w:p>
    <w:p w:rsidR="009539F9" w:rsidRPr="0076666E" w:rsidRDefault="009539F9" w:rsidP="009539F9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lastRenderedPageBreak/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849"/>
        <w:gridCol w:w="850"/>
        <w:gridCol w:w="801"/>
        <w:gridCol w:w="1338"/>
      </w:tblGrid>
      <w:tr w:rsidR="009539F9" w:rsidRPr="0076666E" w:rsidTr="00770D17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9539F9" w:rsidRPr="0076666E" w:rsidTr="00770D17">
        <w:trPr>
          <w:trHeight w:val="244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310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9539F9" w:rsidRPr="0076666E" w:rsidTr="00770D17">
        <w:trPr>
          <w:trHeight w:val="238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9539F9" w:rsidRPr="0076666E" w:rsidTr="00770D17">
        <w:trPr>
          <w:trHeight w:val="322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9539F9" w:rsidRPr="0076666E" w:rsidTr="00770D17">
        <w:trPr>
          <w:trHeight w:val="314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259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9539F9" w:rsidRPr="0076666E" w:rsidTr="00770D17">
        <w:trPr>
          <w:trHeight w:val="26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9539F9" w:rsidRPr="0076666E" w:rsidTr="00770D17">
        <w:trPr>
          <w:trHeight w:val="271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666E">
              <w:rPr>
                <w:color w:val="000000"/>
                <w:sz w:val="18"/>
                <w:szCs w:val="18"/>
              </w:rPr>
              <w:t>Домофон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9539F9" w:rsidRDefault="008010F3" w:rsidP="009539F9">
      <w:pPr>
        <w:jc w:val="both"/>
        <w:rPr>
          <w:sz w:val="18"/>
          <w:szCs w:val="16"/>
        </w:rPr>
      </w:pPr>
      <w:r w:rsidRPr="008010F3">
        <w:rPr>
          <w:rFonts w:eastAsia="Calibri"/>
          <w:noProof/>
          <w:sz w:val="20"/>
          <w:szCs w:val="18"/>
        </w:rPr>
        <w:pict>
          <v:shape id="Правая фигурная скобка 15" o:spid="_x0000_s1045" type="#_x0000_t88" style="position:absolute;left:0;text-align:left;margin-left:-1.6pt;margin-top:49.35pt;width:20.95pt;height:19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" adj="198" strokecolor="#4472c4 [3204]" strokeweight=".5pt">
            <v:stroke joinstyle="miter"/>
          </v:shape>
        </w:pict>
      </w:r>
      <w:r w:rsidRPr="008010F3">
        <w:rPr>
          <w:rFonts w:eastAsia="Calibri"/>
          <w:noProof/>
          <w:sz w:val="20"/>
          <w:szCs w:val="18"/>
        </w:rPr>
        <w:pict>
          <v:rect id="Прямоугольник 8" o:spid="_x0000_s1042" style="position:absolute;left:0;text-align:left;margin-left:25.9pt;margin-top:108.35pt;width:58.55pt;height:79.9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<v:stroke dashstyle="longDash"/>
            <v:textbox>
              <w:txbxContent>
                <w:p w:rsidR="00080D82" w:rsidRPr="0028079F" w:rsidRDefault="00080D82" w:rsidP="009539F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>6 392,20</w:t>
                  </w:r>
                  <w:r w:rsidRPr="0028079F"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>–</w:t>
                  </w:r>
                </w:p>
                <w:p w:rsidR="00080D82" w:rsidRPr="0028079F" w:rsidRDefault="00080D82" w:rsidP="009539F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плата за коммунальные услуги</w:t>
                  </w:r>
                </w:p>
                <w:p w:rsidR="00080D82" w:rsidRPr="0028079F" w:rsidRDefault="00080D82" w:rsidP="009539F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в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декабре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080D82" w:rsidRPr="0028079F" w:rsidRDefault="00080D82" w:rsidP="009539F9">
                  <w:pPr>
                    <w:jc w:val="center"/>
                    <w:rPr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>2022 года</w:t>
                  </w:r>
                </w:p>
              </w:txbxContent>
            </v:textbox>
            <w10:wrap anchorx="margin"/>
          </v:rect>
        </w:pict>
      </w:r>
      <w:r w:rsidRPr="008010F3">
        <w:rPr>
          <w:rFonts w:eastAsia="Calibri"/>
          <w:b/>
          <w:noProof/>
          <w:szCs w:val="26"/>
        </w:rPr>
        <w:pict>
          <v:shape id="Правая фигурная скобка 7" o:spid="_x0000_s1044" type="#_x0000_t88" style="position:absolute;left:0;text-align:left;margin-left:373.5pt;margin-top:53.45pt;width:10.65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" adj="103" strokecolor="#4472c4 [3204]" strokeweight=".5pt">
            <v:stroke joinstyle="miter"/>
          </v:shape>
        </w:pict>
      </w:r>
      <w:r w:rsidR="009539F9">
        <w:rPr>
          <w:sz w:val="18"/>
          <w:szCs w:val="16"/>
        </w:rPr>
        <w:br w:type="textWrapping" w:clear="all"/>
        <w:t xml:space="preserve">* </w:t>
      </w:r>
      <w:r w:rsidR="009539F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9539F9" w:rsidRDefault="009539F9" w:rsidP="009539F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9539F9" w:rsidRDefault="009539F9" w:rsidP="009539F9">
      <w:pPr>
        <w:jc w:val="both"/>
        <w:rPr>
          <w:sz w:val="18"/>
          <w:szCs w:val="16"/>
        </w:rPr>
      </w:pPr>
    </w:p>
    <w:p w:rsidR="009539F9" w:rsidRDefault="008010F3" w:rsidP="009539F9">
      <w:pPr>
        <w:jc w:val="both"/>
        <w:rPr>
          <w:rFonts w:eastAsia="Calibri"/>
          <w:szCs w:val="26"/>
        </w:rPr>
      </w:pPr>
      <w:r w:rsidRPr="008010F3">
        <w:rPr>
          <w:noProof/>
          <w:color w:val="FF0000"/>
          <w:szCs w:val="26"/>
        </w:rPr>
        <w:pict>
          <v:rect id="Прямоугольник 9" o:spid="_x0000_s1043" style="position:absolute;left:0;text-align:left;margin-left:807.6pt;margin-top:1.1pt;width:449.4pt;height:51.5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<v:fill color2="#f2dbdb" focusposition=".5,.5" focussize="" focus="100%" type="gradientRadial"/>
            <v:stroke dashstyle="longDash"/>
            <v:shadow on="t" color="#4e6128" opacity=".5" offset="1pt"/>
            <v:textbox>
              <w:txbxContent>
                <w:p w:rsidR="00080D82" w:rsidRPr="00B32425" w:rsidRDefault="00080D82" w:rsidP="009539F9">
                  <w:pPr>
                    <w:jc w:val="center"/>
                    <w:rPr>
                      <w:b/>
                      <w:color w:val="002060"/>
                    </w:rPr>
                  </w:pPr>
                  <w:r w:rsidRPr="00B32425">
                    <w:rPr>
                      <w:b/>
                      <w:color w:val="002060"/>
                    </w:rPr>
                    <w:t>Индекс роста платы граждан</w:t>
                  </w:r>
                </w:p>
                <w:p w:rsidR="00080D82" w:rsidRPr="00B32425" w:rsidRDefault="00080D82" w:rsidP="009539F9">
                  <w:pPr>
                    <w:jc w:val="center"/>
                    <w:rPr>
                      <w:rFonts w:eastAsia="Calibri"/>
                      <w:b/>
                      <w:color w:val="002060"/>
                    </w:rPr>
                  </w:pPr>
                  <w:r w:rsidRPr="00B32425">
                    <w:rPr>
                      <w:b/>
                      <w:color w:val="002060"/>
                    </w:rPr>
                    <w:t xml:space="preserve"> за коммунальные услуги за июль 202</w:t>
                  </w:r>
                  <w:r>
                    <w:rPr>
                      <w:b/>
                      <w:color w:val="002060"/>
                    </w:rPr>
                    <w:t>2</w:t>
                  </w:r>
                  <w:r w:rsidRPr="00B32425">
                    <w:rPr>
                      <w:b/>
                      <w:color w:val="002060"/>
                    </w:rPr>
                    <w:t xml:space="preserve"> года:</w:t>
                  </w:r>
                </w:p>
                <w:p w:rsidR="00080D82" w:rsidRPr="00377E52" w:rsidRDefault="00080D82" w:rsidP="009539F9">
                  <w:pPr>
                    <w:spacing w:line="276" w:lineRule="auto"/>
                    <w:jc w:val="center"/>
                    <w:rPr>
                      <w:b/>
                      <w:color w:val="632423"/>
                    </w:rPr>
                  </w:pPr>
                  <w:r>
                    <w:rPr>
                      <w:rFonts w:eastAsia="Calibri"/>
                      <w:b/>
                      <w:color w:val="632423"/>
                    </w:rPr>
                    <w:t>6 392,20</w:t>
                  </w:r>
                  <w:r>
                    <w:rPr>
                      <w:b/>
                      <w:color w:val="632423"/>
                    </w:rPr>
                    <w:t>/5 928,31</w:t>
                  </w:r>
                  <w:r w:rsidRPr="00377E52">
                    <w:rPr>
                      <w:rFonts w:eastAsia="Calibri"/>
                      <w:b/>
                      <w:color w:val="632423"/>
                    </w:rPr>
                    <w:t xml:space="preserve"> </w:t>
                  </w:r>
                  <w:proofErr w:type="spellStart"/>
                  <w:r w:rsidRPr="00377E52">
                    <w:rPr>
                      <w:b/>
                      <w:color w:val="632423"/>
                    </w:rPr>
                    <w:t>х</w:t>
                  </w:r>
                  <w:proofErr w:type="spellEnd"/>
                  <w:r w:rsidRPr="00377E52">
                    <w:rPr>
                      <w:b/>
                      <w:color w:val="632423"/>
                    </w:rPr>
                    <w:t xml:space="preserve"> 100% - 100% = </w:t>
                  </w:r>
                  <w:r>
                    <w:rPr>
                      <w:b/>
                      <w:color w:val="632423"/>
                    </w:rPr>
                    <w:t>7,8</w:t>
                  </w:r>
                  <w:r w:rsidRPr="00377E52">
                    <w:rPr>
                      <w:b/>
                      <w:color w:val="632423"/>
                    </w:rPr>
                    <w:t xml:space="preserve"> %</w:t>
                  </w:r>
                </w:p>
              </w:txbxContent>
            </v:textbox>
            <w10:wrap anchorx="margin"/>
          </v:rect>
        </w:pict>
      </w:r>
    </w:p>
    <w:p w:rsidR="009539F9" w:rsidRDefault="009539F9" w:rsidP="009539F9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</w:p>
    <w:p w:rsidR="009539F9" w:rsidRPr="00C81D66" w:rsidRDefault="009539F9" w:rsidP="009539F9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rPr>
          <w:rFonts w:eastAsia="Calibri"/>
        </w:rPr>
        <w:t>услуги превысит, установленное п</w:t>
      </w:r>
      <w:r w:rsidRPr="00C81D66">
        <w:rPr>
          <w:rFonts w:eastAsia="Calibri"/>
        </w:rP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</w:t>
      </w:r>
      <w:r>
        <w:rPr>
          <w:rFonts w:eastAsia="Calibri"/>
        </w:rPr>
        <w:t xml:space="preserve"> и взноса за капитальный ремонт (услуги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>регулируются государством), входя</w:t>
      </w:r>
      <w:r w:rsidRPr="00C81D66">
        <w:rPr>
          <w:rFonts w:eastAsia="Calibri"/>
        </w:rPr>
        <w:t xml:space="preserve">т плата за содержание </w:t>
      </w:r>
      <w:r>
        <w:rPr>
          <w:rFonts w:eastAsia="Calibri"/>
        </w:rPr>
        <w:t xml:space="preserve">и текущий ремонт </w:t>
      </w:r>
      <w:r w:rsidRPr="00C81D66">
        <w:rPr>
          <w:rFonts w:eastAsia="Calibri"/>
        </w:rPr>
        <w:t>жилого помещения</w:t>
      </w:r>
      <w:r>
        <w:rPr>
          <w:rFonts w:eastAsia="Calibri"/>
        </w:rPr>
        <w:t>, которая включает в себя: плату за услуги</w:t>
      </w:r>
      <w:r w:rsidRPr="00C81D66">
        <w:rPr>
          <w:rFonts w:eastAsia="Calibri"/>
        </w:rPr>
        <w:t xml:space="preserve"> по управлению многоквартирным д</w:t>
      </w:r>
      <w:r>
        <w:rPr>
          <w:rFonts w:eastAsia="Calibri"/>
        </w:rPr>
        <w:t>омом;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 xml:space="preserve">плату </w:t>
      </w:r>
      <w:r w:rsidRPr="00C81D66">
        <w:rPr>
          <w:rFonts w:eastAsia="Calibri"/>
        </w:rPr>
        <w:t>за содержание и текущий ремонт общего имущества в многоквартирном доме</w:t>
      </w:r>
      <w:r>
        <w:rPr>
          <w:rFonts w:eastAsia="Calibri"/>
        </w:rPr>
        <w:t>; плату за холодную и</w:t>
      </w:r>
      <w:r w:rsidRPr="00C81D66">
        <w:rPr>
          <w:rFonts w:eastAsia="Calibri"/>
        </w:rP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</w:t>
      </w:r>
      <w:proofErr w:type="gramStart"/>
      <w:r w:rsidRPr="00C81D66">
        <w:rPr>
          <w:rFonts w:eastAsia="Calibri"/>
        </w:rPr>
        <w:t>доме</w:t>
      </w:r>
      <w:proofErr w:type="gramEnd"/>
      <w:r w:rsidRPr="00F43B2C">
        <w:rPr>
          <w:rFonts w:eastAsia="Calibri"/>
        </w:rPr>
        <w:t xml:space="preserve"> если гражданином не заключен прямой договор с </w:t>
      </w:r>
      <w:proofErr w:type="spellStart"/>
      <w:r>
        <w:rPr>
          <w:rFonts w:eastAsia="Calibri"/>
        </w:rPr>
        <w:t>ресурсо</w:t>
      </w:r>
      <w:r w:rsidRPr="00F43B2C">
        <w:rPr>
          <w:rFonts w:eastAsia="Calibri"/>
        </w:rPr>
        <w:t>снабжающей</w:t>
      </w:r>
      <w:proofErr w:type="spellEnd"/>
      <w:r>
        <w:rPr>
          <w:rFonts w:eastAsia="Calibri"/>
        </w:rPr>
        <w:t xml:space="preserve"> организацией).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При этом</w:t>
      </w:r>
      <w:proofErr w:type="gramStart"/>
      <w:r w:rsidRPr="00C81D66">
        <w:rPr>
          <w:rFonts w:eastAsia="Calibri"/>
        </w:rPr>
        <w:t>,</w:t>
      </w:r>
      <w:proofErr w:type="gramEnd"/>
      <w:r w:rsidRPr="00C81D66"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</w:t>
      </w:r>
      <w:r w:rsidRPr="00C81D66">
        <w:rPr>
          <w:rFonts w:eastAsia="Calibri"/>
        </w:rPr>
        <w:lastRenderedPageBreak/>
        <w:t xml:space="preserve">домом. Размер платы за содержание жилого помещения следует уточнять в своей Управляющей компании. 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Контроль за</w:t>
      </w:r>
      <w:proofErr w:type="gramEnd"/>
      <w:r w:rsidRPr="00C81D66"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5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6" w:history="1">
        <w:r w:rsidRPr="00CD13A1">
          <w:rPr>
            <w:rStyle w:val="a5"/>
            <w:rFonts w:eastAsia="Calibri"/>
          </w:rPr>
          <w:t>https://rst.admhmao.ru/</w:t>
        </w:r>
      </w:hyperlink>
      <w:r w:rsidRPr="00C81D66"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</w:t>
      </w:r>
      <w:proofErr w:type="gramEnd"/>
      <w:r w:rsidRPr="00C81D66">
        <w:rPr>
          <w:rFonts w:eastAsia="Calibri"/>
        </w:rPr>
        <w:t xml:space="preserve"> отходами».</w:t>
      </w:r>
    </w:p>
    <w:p w:rsidR="009539F9" w:rsidRPr="00AB3CB3" w:rsidRDefault="009539F9" w:rsidP="009539F9">
      <w:pPr>
        <w:pStyle w:val="a9"/>
        <w:spacing w:line="276" w:lineRule="auto"/>
        <w:ind w:firstLine="567"/>
        <w:jc w:val="both"/>
      </w:pPr>
      <w:r w:rsidRPr="009060ED"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9060ED">
        <w:t>Департаменту строительства</w:t>
      </w:r>
      <w:r>
        <w:t xml:space="preserve"> и жилищно-коммунального комплекса </w:t>
      </w:r>
      <w:r w:rsidRPr="009060ED">
        <w:t xml:space="preserve"> Ханты-Мансийского автономного округа – Югры, официальный сайт: </w:t>
      </w:r>
      <w:hyperlink r:id="rId17" w:history="1">
        <w:r w:rsidRPr="009060ED">
          <w:rPr>
            <w:rStyle w:val="a5"/>
            <w:sz w:val="26"/>
            <w:szCs w:val="26"/>
          </w:rPr>
          <w:t>https://www.ds.admhmao.ru/</w:t>
        </w:r>
      </w:hyperlink>
      <w:r>
        <w:t>.</w:t>
      </w:r>
    </w:p>
    <w:p w:rsidR="009539F9" w:rsidRPr="00A6731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Повышение тарифов </w:t>
      </w:r>
      <w:proofErr w:type="gramStart"/>
      <w:r w:rsidRPr="005D702A">
        <w:rPr>
          <w:rFonts w:eastAsia="Calibri"/>
        </w:rPr>
        <w:t>в</w:t>
      </w:r>
      <w:proofErr w:type="gramEnd"/>
      <w:r w:rsidRPr="005D702A">
        <w:rPr>
          <w:rFonts w:eastAsia="Calibri"/>
        </w:rPr>
        <w:t xml:space="preserve"> </w:t>
      </w:r>
      <w:proofErr w:type="gramStart"/>
      <w:r w:rsidRPr="005D702A">
        <w:rPr>
          <w:rFonts w:eastAsia="Calibri"/>
        </w:rPr>
        <w:t>Ханты-Мансийском</w:t>
      </w:r>
      <w:proofErr w:type="gramEnd"/>
      <w:r w:rsidRPr="005D702A">
        <w:rPr>
          <w:rFonts w:eastAsia="Calibri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proofErr w:type="gramStart"/>
      <w:r w:rsidRPr="00301ABE"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</w:t>
      </w:r>
      <w:proofErr w:type="gramEnd"/>
      <w:r w:rsidRPr="00301ABE">
        <w:rPr>
          <w:rFonts w:eastAsia="Calibri"/>
          <w:bCs/>
        </w:rPr>
        <w:t xml:space="preserve">, </w:t>
      </w:r>
      <w:proofErr w:type="gramStart"/>
      <w:r w:rsidRPr="00301ABE">
        <w:rPr>
          <w:rFonts w:eastAsia="Calibri"/>
          <w:bCs/>
        </w:rPr>
        <w:t>установленных</w:t>
      </w:r>
      <w:proofErr w:type="gramEnd"/>
      <w:r w:rsidRPr="00301ABE">
        <w:rPr>
          <w:rFonts w:eastAsia="Calibri"/>
          <w:bCs/>
        </w:rPr>
        <w:t xml:space="preserve"> в соответствии с действующим законодательством.</w:t>
      </w:r>
    </w:p>
    <w:p w:rsidR="00D61AF9" w:rsidRPr="00D61AF9" w:rsidRDefault="009539F9" w:rsidP="00D61A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5D702A">
        <w:rPr>
          <w:rFonts w:eastAsia="Calibri"/>
        </w:rPr>
        <w:t xml:space="preserve">Для получения разъяснений и предоставления </w:t>
      </w:r>
      <w:r>
        <w:rPr>
          <w:rFonts w:eastAsia="Calibri"/>
        </w:rPr>
        <w:t>мер социальной поддержки</w:t>
      </w:r>
      <w:r w:rsidRPr="005D702A">
        <w:rPr>
          <w:rFonts w:eastAsia="Calibri"/>
        </w:rPr>
        <w:t xml:space="preserve"> по оплате за жилищные и коммунальные услуги необходимо обращаться </w:t>
      </w:r>
      <w:r w:rsidR="00080D82">
        <w:rPr>
          <w:rFonts w:eastAsia="Calibri"/>
        </w:rPr>
        <w:t xml:space="preserve">в органы социальной защиты населения </w:t>
      </w:r>
      <w:r w:rsidRPr="005D702A">
        <w:rPr>
          <w:rFonts w:eastAsia="Calibri"/>
        </w:rPr>
        <w:t xml:space="preserve">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9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20" w:history="1">
        <w:r w:rsidR="00080D82" w:rsidRPr="004712B5">
          <w:rPr>
            <w:rStyle w:val="a5"/>
            <w:rFonts w:eastAsia="Calibri"/>
          </w:rPr>
          <w:t>https://depsr.admhmao.ru/kontakty/)</w:t>
        </w:r>
      </w:hyperlink>
      <w:r w:rsidR="00080D82">
        <w:rPr>
          <w:rFonts w:eastAsiaTheme="minorHAnsi"/>
        </w:rPr>
        <w:t>, также</w:t>
      </w:r>
      <w:r w:rsidR="00D61AF9">
        <w:rPr>
          <w:rFonts w:eastAsiaTheme="minorHAnsi"/>
        </w:rPr>
        <w:t>,</w:t>
      </w:r>
      <w:r w:rsidR="00D61AF9" w:rsidRPr="00D61AF9">
        <w:rPr>
          <w:rFonts w:eastAsiaTheme="minorHAnsi"/>
        </w:rPr>
        <w:t xml:space="preserve"> </w:t>
      </w:r>
      <w:r w:rsidR="00941190">
        <w:rPr>
          <w:rFonts w:eastAsia="Calibri"/>
        </w:rPr>
        <w:t xml:space="preserve">получить </w:t>
      </w:r>
      <w:r w:rsidR="00080D82">
        <w:rPr>
          <w:rFonts w:eastAsia="Calibri"/>
        </w:rPr>
        <w:t>консультацию</w:t>
      </w:r>
      <w:r w:rsidR="00D61AF9" w:rsidRPr="00D61AF9">
        <w:rPr>
          <w:rFonts w:eastAsia="Calibri"/>
        </w:rPr>
        <w:t xml:space="preserve"> можно </w:t>
      </w:r>
      <w:r w:rsidR="00080D82">
        <w:rPr>
          <w:rFonts w:eastAsia="Calibri"/>
        </w:rPr>
        <w:t>на единой</w:t>
      </w:r>
      <w:proofErr w:type="gramEnd"/>
      <w:r w:rsidR="00D61AF9" w:rsidRPr="00D61AF9">
        <w:rPr>
          <w:rFonts w:eastAsia="Calibri"/>
        </w:rPr>
        <w:t xml:space="preserve"> горяч</w:t>
      </w:r>
      <w:r w:rsidR="00080D82">
        <w:rPr>
          <w:rFonts w:eastAsia="Calibri"/>
        </w:rPr>
        <w:t>ей</w:t>
      </w:r>
      <w:r w:rsidR="00D61AF9" w:rsidRPr="00D61AF9">
        <w:rPr>
          <w:rFonts w:eastAsia="Calibri"/>
        </w:rPr>
        <w:t xml:space="preserve"> лини</w:t>
      </w:r>
      <w:r w:rsidR="00080D82">
        <w:rPr>
          <w:rFonts w:eastAsia="Calibri"/>
        </w:rPr>
        <w:t>и</w:t>
      </w:r>
      <w:r w:rsidR="00D61AF9" w:rsidRPr="00D61AF9">
        <w:rPr>
          <w:rFonts w:eastAsia="Calibri"/>
        </w:rPr>
        <w:t xml:space="preserve"> «</w:t>
      </w:r>
      <w:proofErr w:type="spellStart"/>
      <w:proofErr w:type="gramStart"/>
      <w:r w:rsidR="00D61AF9" w:rsidRPr="00D61AF9">
        <w:rPr>
          <w:rFonts w:eastAsia="Calibri"/>
        </w:rPr>
        <w:t>Контакт-центра</w:t>
      </w:r>
      <w:proofErr w:type="spellEnd"/>
      <w:proofErr w:type="gramEnd"/>
      <w:r w:rsidR="00D61AF9" w:rsidRPr="00D61AF9">
        <w:rPr>
          <w:rFonts w:eastAsia="Calibri"/>
        </w:rPr>
        <w:t>» по номеру: 8-800-301-44-43, с 09:00 до 21:00 часов ежедневно.</w:t>
      </w:r>
    </w:p>
    <w:p w:rsidR="00B86BE7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t xml:space="preserve">Информация о реализации </w:t>
      </w:r>
      <w:proofErr w:type="spellStart"/>
      <w:r w:rsidRPr="009F7DDB">
        <w:rPr>
          <w:rFonts w:eastAsia="Calibri"/>
        </w:rPr>
        <w:t>общественног</w:t>
      </w:r>
      <w:proofErr w:type="spellEnd"/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9F7DDB">
        <w:rPr>
          <w:rFonts w:eastAsia="Calibri"/>
        </w:rPr>
        <w:lastRenderedPageBreak/>
        <w:t xml:space="preserve">о и государственного контроля за ростом платы на коммунальные услуги на территории автономного округа размещена на сайте </w:t>
      </w:r>
      <w:r w:rsidRPr="00C81D66">
        <w:rPr>
          <w:rFonts w:eastAsia="Calibri"/>
        </w:rPr>
        <w:t>РСТ Югры (</w:t>
      </w:r>
      <w:proofErr w:type="spellStart"/>
      <w:r w:rsidRPr="00C81D66">
        <w:rPr>
          <w:rFonts w:eastAsia="Calibri"/>
        </w:rPr>
        <w:t>www.rst.admhmao.ru</w:t>
      </w:r>
      <w:proofErr w:type="spellEnd"/>
      <w:r w:rsidRPr="00C81D66">
        <w:rPr>
          <w:rFonts w:eastAsia="Calibri"/>
        </w:rPr>
        <w:t xml:space="preserve">) в разделе «Для </w:t>
      </w:r>
      <w:r w:rsidRPr="0073716A">
        <w:rPr>
          <w:rFonts w:eastAsia="Calibri"/>
        </w:rPr>
        <w:t>граждан»</w:t>
      </w:r>
      <w:r>
        <w:rPr>
          <w:rFonts w:eastAsia="Calibri"/>
        </w:rPr>
        <w:t xml:space="preserve"> </w:t>
      </w:r>
      <w:hyperlink r:id="rId21" w:history="1">
        <w:r w:rsidRPr="007402C3">
          <w:rPr>
            <w:rStyle w:val="a5"/>
            <w:rFonts w:eastAsia="Calibri"/>
          </w:rPr>
          <w:t>https://rst.admhmao.ru/dlya-grazhdan/informatsiya-o-realizatsii-obshchestvennogo-i-gosudarstvennogo-kontrolya-za-rostom-platy-za-kommunal/8409335/2023-god/</w:t>
        </w:r>
      </w:hyperlink>
      <w:proofErr w:type="gramEnd"/>
    </w:p>
    <w:p w:rsidR="009539F9" w:rsidRDefault="009539F9" w:rsidP="009539F9">
      <w:pPr>
        <w:spacing w:line="276" w:lineRule="auto"/>
        <w:ind w:firstLine="567"/>
        <w:jc w:val="both"/>
        <w:rPr>
          <w:rStyle w:val="a5"/>
          <w:rFonts w:eastAsia="Calibri"/>
        </w:rPr>
      </w:pPr>
    </w:p>
    <w:p w:rsidR="009539F9" w:rsidRPr="009539F9" w:rsidRDefault="009539F9" w:rsidP="009539F9">
      <w:pPr>
        <w:spacing w:line="276" w:lineRule="auto"/>
        <w:rPr>
          <w:rStyle w:val="titlerazdel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p w:rsidR="006F0593" w:rsidRDefault="006F0593" w:rsidP="00B45F7C">
      <w:pPr>
        <w:pStyle w:val="a9"/>
        <w:jc w:val="right"/>
      </w:pPr>
    </w:p>
    <w:sectPr w:rsidR="006F0593" w:rsidSect="00C907C0">
      <w:headerReference w:type="default" r:id="rId22"/>
      <w:headerReference w:type="first" r:id="rId23"/>
      <w:footerReference w:type="first" r:id="rId24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82" w:rsidRDefault="00080D82" w:rsidP="008D36FA">
      <w:r>
        <w:separator/>
      </w:r>
    </w:p>
  </w:endnote>
  <w:endnote w:type="continuationSeparator" w:id="0">
    <w:p w:rsidR="00080D82" w:rsidRDefault="00080D82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82" w:rsidRDefault="00080D82" w:rsidP="008D36FA">
      <w:r>
        <w:separator/>
      </w:r>
    </w:p>
  </w:footnote>
  <w:footnote w:type="continuationSeparator" w:id="0">
    <w:p w:rsidR="00080D82" w:rsidRDefault="00080D82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006315"/>
      <w:docPartObj>
        <w:docPartGallery w:val="Page Numbers (Top of Page)"/>
        <w:docPartUnique/>
      </w:docPartObj>
    </w:sdtPr>
    <w:sdtContent>
      <w:p w:rsidR="00080D82" w:rsidRDefault="008010F3">
        <w:pPr>
          <w:pStyle w:val="aa"/>
          <w:jc w:val="center"/>
        </w:pPr>
        <w:r>
          <w:fldChar w:fldCharType="begin"/>
        </w:r>
        <w:r w:rsidR="00080D82">
          <w:instrText>PAGE   \* MERGEFORMAT</w:instrText>
        </w:r>
        <w:r>
          <w:fldChar w:fldCharType="separate"/>
        </w:r>
        <w:r w:rsidR="006F0593">
          <w:rPr>
            <w:noProof/>
          </w:rPr>
          <w:t>7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6F0593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5D6A"/>
    <w:rsid w:val="007F1881"/>
    <w:rsid w:val="007F3FC6"/>
    <w:rsid w:val="008010F3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s://depprom.admhma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s://www.ds.admhma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st.admhmao.ru/" TargetMode="External"/><Relationship Id="rId20" Type="http://schemas.openxmlformats.org/officeDocument/2006/relationships/hyperlink" Target="https://depsr.admhmao.ru/kontakty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jsn.admhmao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www.depsr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E647-8D92-40B4-B776-7215F79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2005</Words>
  <Characters>14875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RomanchenkoOS</cp:lastModifiedBy>
  <cp:revision>100</cp:revision>
  <cp:lastPrinted>2023-02-03T11:27:00Z</cp:lastPrinted>
  <dcterms:created xsi:type="dcterms:W3CDTF">2021-04-13T10:43:00Z</dcterms:created>
  <dcterms:modified xsi:type="dcterms:W3CDTF">2023-02-08T09:47:00Z</dcterms:modified>
</cp:coreProperties>
</file>